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napToGrid w:val="false"/>
        <w:spacing w:lineRule="auto" w:line="240"/>
        <w:rPr/>
      </w:pPr>
      <w:r>
        <w:rPr>
          <w:i w:val="false"/>
          <w:iCs w:val="false"/>
          <w:spacing w:val="-2"/>
          <w:sz w:val="28"/>
          <w:szCs w:val="28"/>
        </w:rPr>
        <w:t>Методические рекомендации с описанием механизма вывоза образцов товаров для использования на выставках, ярмарках и переговорах на территории КНР (</w:t>
      </w:r>
      <w:r>
        <w:rPr>
          <w:i w:val="false"/>
          <w:iCs w:val="false"/>
          <w:spacing w:val="-2"/>
          <w:sz w:val="28"/>
          <w:szCs w:val="28"/>
        </w:rPr>
        <w:t xml:space="preserve">с применением </w:t>
      </w:r>
      <w:r>
        <w:rPr>
          <w:i w:val="false"/>
          <w:iCs w:val="false"/>
          <w:spacing w:val="-2"/>
          <w:sz w:val="28"/>
          <w:szCs w:val="28"/>
        </w:rPr>
        <w:t>Картнет</w:t>
      </w:r>
      <w:r>
        <w:rPr>
          <w:i w:val="false"/>
          <w:iCs w:val="false"/>
          <w:spacing w:val="-2"/>
          <w:sz w:val="28"/>
          <w:szCs w:val="28"/>
        </w:rPr>
        <w:t>а</w:t>
      </w:r>
      <w:r>
        <w:rPr>
          <w:i w:val="false"/>
          <w:iCs w:val="false"/>
          <w:spacing w:val="-2"/>
          <w:sz w:val="28"/>
          <w:szCs w:val="28"/>
        </w:rPr>
        <w:t xml:space="preserve"> АТА) </w:t>
      </w:r>
    </w:p>
    <w:p>
      <w:pPr>
        <w:pStyle w:val="1"/>
        <w:snapToGrid w:val="false"/>
        <w:spacing w:lineRule="auto" w:line="240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Style21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>
      <w:pPr>
        <w:pStyle w:val="Normal"/>
        <w:widowControl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NewRomanPSMT" w:cs="TimesNewRomanPSMT" w:ascii="Times New Roman" w:hAnsi="Times New Roman"/>
          <w:color w:val="000000"/>
          <w:sz w:val="26"/>
          <w:szCs w:val="26"/>
        </w:rPr>
        <w:t>В целях вывоза образцов товаров для использования на выставках, ярмарках и переговорах действует процедура временного ввоза – карнет АТА.</w:t>
      </w:r>
    </w:p>
    <w:p>
      <w:pPr>
        <w:pStyle w:val="Style21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Карнет АТА — международный таможенный документ, заменяющий таможенные декларации и позволяющий осуществлять упрощенное и ускоренное оформление временного ввоза товаров в связи с проведением выставок и ярмарок, а также для перемещения через границу товарных образцов, профессионального оборудования и некоторых других категорий товаров. </w:t>
      </w:r>
    </w:p>
    <w:p>
      <w:pPr>
        <w:pStyle w:val="ConsPlusNormal"/>
        <w:widowControl/>
        <w:suppressAutoHyphens w:val="true"/>
        <w:bidi w:val="0"/>
        <w:spacing w:lineRule="auto" w:line="276" w:before="0" w:after="0"/>
        <w:ind w:left="0" w:right="0" w:firstLine="737"/>
        <w:jc w:val="both"/>
        <w:rPr/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ременный беспошлинный ввоз и вывоз которых из/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России</w:t>
      </w:r>
      <w:r>
        <w:rPr>
          <w:rFonts w:ascii="Times New Roman" w:hAnsi="Times New Roman"/>
          <w:sz w:val="26"/>
          <w:szCs w:val="26"/>
        </w:rPr>
        <w:t>(ю)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овар</w:t>
      </w:r>
      <w:r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>, подпадающи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под действие карнетов АТА, допускается </w:t>
      </w:r>
      <w:r>
        <w:rPr>
          <w:rFonts w:ascii="Times New Roman" w:hAnsi="Times New Roman"/>
          <w:sz w:val="26"/>
          <w:szCs w:val="26"/>
        </w:rPr>
        <w:t xml:space="preserve">с определенными </w:t>
      </w:r>
      <w:r>
        <w:rPr>
          <w:rFonts w:ascii="Times New Roman" w:hAnsi="Times New Roman"/>
          <w:sz w:val="26"/>
          <w:szCs w:val="26"/>
        </w:rPr>
        <w:t xml:space="preserve">целями и для </w:t>
      </w:r>
      <w:r>
        <w:rPr>
          <w:rFonts w:ascii="Times New Roman" w:hAnsi="Times New Roman"/>
          <w:sz w:val="26"/>
          <w:szCs w:val="26"/>
        </w:rPr>
        <w:t xml:space="preserve">определенных </w:t>
      </w:r>
      <w:r>
        <w:rPr>
          <w:rFonts w:ascii="Times New Roman" w:hAnsi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категорий товаров и оборудования. </w:t>
      </w:r>
      <w:r>
        <w:rPr>
          <w:rFonts w:ascii="Times New Roman" w:hAnsi="Times New Roman"/>
          <w:sz w:val="26"/>
          <w:szCs w:val="26"/>
        </w:rPr>
        <w:t xml:space="preserve">Цели ввоза / вывоза и категории товаров и оборудования </w:t>
      </w:r>
      <w:r>
        <w:rPr>
          <w:rFonts w:ascii="Times New Roman" w:hAnsi="Times New Roman"/>
          <w:sz w:val="26"/>
          <w:szCs w:val="26"/>
        </w:rPr>
        <w:t xml:space="preserve">изложены в приложениях к Конвенции о временном ввозе от 26 июня 1990 года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Российская Федерация присоединилась к некоторым приложениям к Конвенции о временном ввозе (</w:t>
      </w:r>
      <w:hyperlink r:id="rId2">
        <w:r>
          <w:rPr>
            <w:rFonts w:ascii="Times New Roman" w:hAnsi="Times New Roman"/>
            <w:color w:val="0000FF"/>
            <w:sz w:val="26"/>
            <w:szCs w:val="26"/>
          </w:rPr>
          <w:t>Постановление</w:t>
        </w:r>
      </w:hyperlink>
      <w:r>
        <w:rPr>
          <w:rFonts w:ascii="Times New Roman" w:hAnsi="Times New Roman"/>
          <w:sz w:val="26"/>
          <w:szCs w:val="26"/>
        </w:rPr>
        <w:t xml:space="preserve"> Правительства РФ от 02.11.1995 N 1084 "О присоединении Российской Федерации к Таможенной конвенции о карнете ATA для временного ввоза товаров от 6 декабря 1961 г. и Конвенции о временном ввозе от 26 июня 1990 г. с принятием ряда приложений"):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Приложение В1 - о товарах для демонстрации или использования на выставках, ярмарках, конференциях или подобных мероприятиях;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Приложение В2 - о профессиональном оборудовании;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Приложение В3 - о контейнерах, поддонах, упаковках, образцах и других товарах, ввезенных в связи с коммерческой операцией;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Приложение В5- о товарах, ввозимых для образовательных, научных или культурных целей.</w:t>
      </w:r>
    </w:p>
    <w:p>
      <w:pPr>
        <w:pStyle w:val="Style21"/>
        <w:spacing w:lineRule="auto" w:line="276" w:before="0" w:after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Т.е., применение карнетов АТА позволяет осуществлять упрощенное и ускоренное таможенное оформление (в зарубежных странах) временного ввоза и вывоза </w:t>
      </w:r>
      <w:r>
        <w:rPr>
          <w:b w:val="false"/>
          <w:bCs w:val="false"/>
          <w:sz w:val="26"/>
          <w:szCs w:val="26"/>
        </w:rPr>
        <w:t xml:space="preserve">в том числе </w:t>
      </w:r>
      <w:r>
        <w:rPr>
          <w:b w:val="false"/>
          <w:bCs w:val="false"/>
          <w:sz w:val="26"/>
          <w:szCs w:val="26"/>
        </w:rPr>
        <w:t>для</w:t>
      </w:r>
      <w:r>
        <w:rPr>
          <w:b/>
          <w:sz w:val="26"/>
          <w:szCs w:val="26"/>
        </w:rPr>
        <w:t xml:space="preserve">: </w:t>
      </w:r>
    </w:p>
    <w:p>
      <w:pPr>
        <w:pStyle w:val="Style2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образцов и экспонатов выставок; </w:t>
      </w:r>
    </w:p>
    <w:p>
      <w:pPr>
        <w:pStyle w:val="Style2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театрального реквизита; </w:t>
      </w:r>
    </w:p>
    <w:p>
      <w:pPr>
        <w:pStyle w:val="Style2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видео-, фото- и радиоустройств; </w:t>
      </w:r>
    </w:p>
    <w:p>
      <w:pPr>
        <w:pStyle w:val="Style2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оборудования для монтажа, тестирования и ремонта; </w:t>
      </w:r>
    </w:p>
    <w:p>
      <w:pPr>
        <w:pStyle w:val="Style2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контейнеров и прочей многооборотной тары. </w:t>
      </w:r>
    </w:p>
    <w:p>
      <w:pPr>
        <w:pStyle w:val="Style21"/>
        <w:spacing w:lineRule="auto" w:line="276" w:before="0" w:after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1.2. Преимущества карнета АТА: </w:t>
      </w:r>
    </w:p>
    <w:p>
      <w:pPr>
        <w:pStyle w:val="Style2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заменяет таможенную декларацию и освобождает декларанта от необходимости подачи электронной декларации; </w:t>
      </w:r>
    </w:p>
    <w:p>
      <w:pPr>
        <w:pStyle w:val="Style2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обеспечивает ускоренное таможенное оформление, которое сводится к тому, что сотрудник таможни делает специальные отметки на соответствующих листах карнета; </w:t>
      </w:r>
    </w:p>
    <w:p>
      <w:pPr>
        <w:pStyle w:val="Style2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освобождает декларанта от уплаты таможенных платежей, в т.ч. сборов за таможенное оформление, обеспечения уплаты таможенных платежей; </w:t>
      </w:r>
    </w:p>
    <w:p>
      <w:pPr>
        <w:pStyle w:val="Style2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76" w:before="0" w:after="0"/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дает возможность посещать до 10 стран в течение всего срока действия документа (одного года). </w:t>
      </w:r>
    </w:p>
    <w:p>
      <w:pPr>
        <w:pStyle w:val="Style21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yle21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b/>
          <w:bCs/>
          <w:sz w:val="28"/>
          <w:szCs w:val="28"/>
        </w:rPr>
        <w:t xml:space="preserve">Порядок выдачи карнетов АТА </w:t>
      </w:r>
    </w:p>
    <w:p>
      <w:pPr>
        <w:pStyle w:val="Style21"/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>2.1.</w:t>
      </w:r>
      <w:r>
        <w:rPr>
          <w:b/>
          <w:bCs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Функции по оформлению и выдаче карнетов АТА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предоставлены ТПП России на основании постановления Правительства РФ №1084 от 2 ноября 1995 года «О присоединении Российской Федерации к таможенной Конвенции о карнете АТА от 6 декабря 1961 года и Конвенции о временном ввозе от 26 июня 1990 года с принятием ряда приложений». ТПП России также является гарантирующей ассоциацией по карнетам АТА на территории Российской Федерации.</w:t>
      </w:r>
    </w:p>
    <w:p>
      <w:pPr>
        <w:pStyle w:val="Style29"/>
        <w:widowControl/>
        <w:tabs>
          <w:tab w:val="clear" w:pos="720"/>
          <w:tab w:val="left" w:pos="225" w:leader="none"/>
          <w:tab w:val="left" w:pos="735" w:leader="none"/>
        </w:tabs>
        <w:suppressAutoHyphens w:val="true"/>
        <w:bidi w:val="0"/>
        <w:spacing w:lineRule="auto" w:line="276" w:before="0" w:after="0"/>
        <w:ind w:left="0" w:righ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На территории Приморского края выдавать карнеты АТА может Союз «Торгово-промышленная палата Приморского края». </w:t>
      </w:r>
    </w:p>
    <w:p>
      <w:pPr>
        <w:pStyle w:val="Style29"/>
        <w:spacing w:lineRule="auto" w:line="276" w:before="0" w:after="0"/>
        <w:ind w:left="0" w:right="0" w:hanging="0"/>
        <w:jc w:val="both"/>
        <w:rPr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  <w:t xml:space="preserve">Сайт: prim.tpprf.ru </w:t>
      </w:r>
    </w:p>
    <w:p>
      <w:pPr>
        <w:pStyle w:val="Style29"/>
        <w:spacing w:before="0" w:after="0"/>
        <w:ind w:left="0" w:right="0" w:hanging="0"/>
        <w:jc w:val="both"/>
        <w:rPr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  <w:t xml:space="preserve">Адрес: 690091, РФ, Приморский край, г. Владивосток, Океанский проспект, д.13а </w:t>
      </w:r>
    </w:p>
    <w:p>
      <w:pPr>
        <w:pStyle w:val="Style29"/>
        <w:spacing w:before="0" w:after="0"/>
        <w:ind w:left="0" w:right="0" w:hanging="0"/>
        <w:jc w:val="both"/>
        <w:rPr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  <w:t xml:space="preserve">Телефон: (423)226-96-30 </w:t>
      </w:r>
    </w:p>
    <w:p>
      <w:pPr>
        <w:pStyle w:val="Style29"/>
        <w:spacing w:before="0" w:after="0"/>
        <w:ind w:left="0" w:right="0" w:hanging="0"/>
        <w:jc w:val="both"/>
        <w:rPr/>
      </w:pPr>
      <w:r>
        <w:rPr>
          <w:sz w:val="26"/>
          <w:szCs w:val="26"/>
          <w:shd w:fill="FFFFFF" w:val="clear"/>
        </w:rPr>
        <w:t xml:space="preserve">Эл. почта: </w:t>
      </w:r>
      <w:hyperlink r:id="rId3">
        <w:r>
          <w:rPr>
            <w:rStyle w:val="Style15"/>
            <w:color w:val="0000FF"/>
            <w:sz w:val="26"/>
            <w:szCs w:val="26"/>
            <w:shd w:fill="FFFFFF" w:val="clear"/>
          </w:rPr>
          <w:t>palata@ptpp.ru</w:t>
        </w:r>
      </w:hyperlink>
    </w:p>
    <w:p>
      <w:pPr>
        <w:pStyle w:val="Style21"/>
        <w:spacing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>2.2.</w:t>
      </w:r>
      <w:r>
        <w:rPr>
          <w:b/>
          <w:bCs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Срок действия карнета АТА</w:t>
      </w:r>
      <w:r>
        <w:rPr>
          <w:sz w:val="26"/>
          <w:szCs w:val="26"/>
        </w:rPr>
        <w:t xml:space="preserve"> составляет один год с момента его выдачи. Перемещение грузов по этому документу возможно внутри 78 стран, подписавших Конвенцию о временном ввозе с применением карнета АТА от 1961 года. Вывезенные товары должны быть возвращены обратно без изменений и модификаций.</w:t>
      </w:r>
    </w:p>
    <w:p>
      <w:pPr>
        <w:pStyle w:val="Style21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>2.3. Ст</w:t>
      </w:r>
      <w:r>
        <w:rPr>
          <w:sz w:val="26"/>
          <w:szCs w:val="26"/>
        </w:rPr>
        <w:t xml:space="preserve">оимость услуги по оформлению, удостоверению и выдаче карнета АТА состоит из фиксированной суммы, взимаемой в соответствии с действующими тарифами за осуществляемое ТПП России удостоверение сертификатов происхождения товаров и других внешнеэкономических документов, и суммы в размере 0,3% от общей стоимости товаров, вывозимых с применением карнета АТА.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Style w:val="Style15"/>
          <w:b w:val="false"/>
          <w:bCs w:val="false"/>
          <w:color w:val="000000"/>
          <w:sz w:val="26"/>
          <w:szCs w:val="26"/>
          <w:u w:val="none"/>
          <w:shd w:fill="FFFFFF" w:val="clear"/>
        </w:rPr>
        <w:t>2.4.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Для получения карнета ATA. заинтересованное лицо обращается в ТПП ПК и представляет пакет документов: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2.4.1.З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аявление на фирменном бланке организации</w:t>
      </w:r>
    </w:p>
    <w:p>
      <w:pPr>
        <w:pStyle w:val="ConsPlusNormal"/>
        <w:spacing w:lineRule="auto" w:line="276" w:before="0"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В заявлении необходимо указать цель получения карнета АТА, наименование товара, его коммерческую стоимость, названия стран, которые Декларант намерен посетить, и таможенные режимы, применяемые к такому товару);</w:t>
      </w:r>
    </w:p>
    <w:p>
      <w:pPr>
        <w:pStyle w:val="Normal"/>
        <w:widowControl/>
        <w:spacing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2.4.2. Г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арантию в виде заявления на английском языке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Финансовое гарантийное обязательство может представлять из себя страховой полис, выданный страховой компанией, уполномоченной ТПП РФ, а также в отдельных случаях, определяемых Палатой, депозит, выставленный в пользу ТПП России, банковскую гарантию или специальное соглашение. Гарантия должна быть на сумму не меньше 100% от заявленной коммерческой стоимости товара, на который оформляется карнет АТА, со сроком действия не менее 33 месяцев.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случае, если на оформленный в карнете товар сумма импортных пошлин и налогов в совокупности превышает 100% заявленной коммерческой стоимости, ТПП России может потребовать предъявление гарантии на большую сумму.</w:t>
      </w:r>
    </w:p>
    <w:p>
      <w:pPr>
        <w:pStyle w:val="ConsPlusNormal"/>
        <w:spacing w:lineRule="auto" w:line="276" w:before="0" w:after="0"/>
        <w:ind w:lef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Гарантия необходима для покрытия импортных пошлин, требуемых таможенными органами страны временного ввоза (через гарантирующую ассоциацию этой страны) в случае нарушения владельцем карнета АТА режима временного ввоза товаров.</w:t>
      </w:r>
    </w:p>
    <w:p>
      <w:pPr>
        <w:pStyle w:val="Normal"/>
        <w:widowControl/>
        <w:spacing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2.4.3.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Заверенные нотариусом копии уставных документов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, включая копию устава, свидетельства о государственной регистрации, ИНН</w:t>
      </w:r>
    </w:p>
    <w:p>
      <w:pPr>
        <w:pStyle w:val="Normal"/>
        <w:widowControl/>
        <w:spacing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2.4.4.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Копии приглашения от иностранной стороны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с переводом на русский язык</w:t>
      </w:r>
    </w:p>
    <w:p>
      <w:pPr>
        <w:pStyle w:val="Normal"/>
        <w:widowControl/>
        <w:spacing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2.4.5.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Документацию, подтверждающую стоимость товара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Например:чеки,прайс-листы,счета.</w:t>
      </w:r>
    </w:p>
    <w:p>
      <w:pPr>
        <w:pStyle w:val="Normal"/>
        <w:widowControl/>
        <w:spacing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2.4.6.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Перечень вывозимой продукции на русском и английском языке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.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Список товаров должен быть изложен в том же виде, в каком он будет указан на обороте обложки карнета АТА.</w:t>
      </w:r>
    </w:p>
    <w:p>
      <w:pPr>
        <w:pStyle w:val="ConsPlusNormal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Общий список не может быть изменен после выдачи карнета ни выдающей его организацией, ни держателем, ни таможней. Каждый указанный товар носит один и тот же порядковый номер до конца операции с карнетом АТА.</w:t>
      </w:r>
    </w:p>
    <w:p>
      <w:pPr>
        <w:pStyle w:val="ConsPlus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Товары, которые будут расходоваться в ходе мероприятий (продовольственные товары, документация, рекламные материалы, товары, предназначенные для раздачи со стенда, и т.д.), не должны быть указаны в карнете.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2.4.7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.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Уведомление о страховании рисков,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связанных с выдачей таможенного разрешения;</w:t>
      </w:r>
    </w:p>
    <w:p>
      <w:pPr>
        <w:pStyle w:val="ConsPlusNormal"/>
        <w:widowControl/>
        <w:suppressAutoHyphens w:val="true"/>
        <w:bidi w:val="0"/>
        <w:spacing w:lineRule="auto" w:line="276" w:before="160" w:after="0"/>
        <w:ind w:left="0" w:right="0" w:hanging="0"/>
        <w:jc w:val="both"/>
        <w:rPr>
          <w:highlight w:val="none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  <w:t xml:space="preserve">2.4.8. 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 xml:space="preserve">Платежный документ, подтверждающий оплату за услуги </w:t>
      </w:r>
      <w:r>
        <w:rPr>
          <w:rFonts w:ascii="Times New Roman" w:hAnsi="Times New Roman"/>
          <w:sz w:val="26"/>
          <w:szCs w:val="26"/>
          <w:shd w:fill="FFFFFF" w:val="clear"/>
        </w:rPr>
        <w:t>по выдаче карнета АТА в соответствии с тарифами, устанавливаемыми ТПП России.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2.5. Основания для отказа в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получении карнета АТА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: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-не соответствие целей временного вывоза товаров условиям Конвенции о временном ввозе от 26 июня 1990 года и Приложениям к ней;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-не предоставление полного комплекта документов,необходимого для выдачи карнета АТА;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-отсутствие оплаты за оформление, удостоверение и выдачу карнета АТА.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Срок выдачи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карнета АТА составляет 7 рабочих дней с момента предоставления Заявителем полного комплекта документов для его оформления.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3. Требования, обязательные для соблюдения владельцем карнета АТА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.</w:t>
      </w:r>
    </w:p>
    <w:p>
      <w:pPr>
        <w:pStyle w:val="Normal"/>
        <w:widowControl/>
        <w:spacing w:before="0" w:after="0"/>
        <w:ind w:left="0" w:right="0" w:hanging="0"/>
        <w:jc w:val="both"/>
        <w:rPr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3.1.Запрещается продавать ввезенные товары, оформленные карнетом АТА. Данные товары должны быть вывезены владельцем карнета обратно до истечения разрешенного временного пребывания, определенного иностранной таможенной службой при въезде в данную страну. Срок, установленный для вывоза ранее ввзенных товаров не должен превышать срока действия соответствующего  карнета АТА.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3.2.Владелец карнета АТА обязан соблюдать требования, регламентирующие использование карнета АТА, и выполнять таможенные правила страны, в которую ввозятся товары. Необходимо получить требуемую отметку о прохождении таможенного контроля при въезде в каждую страну и выезде из нее. Поскольку отсутствие таких отметок может повлечь за собой уплату таможенных пошлин.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3.3. Владелец  карнета АТА несет ответственность за любые издержки, которые может понести ТПП РФ при выполнении своих обязательств в качестве гаранта.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3.4.Если товары, оформленные карнетом АТА не вывозятся обратно из страны по той причине, что они уничтожены, потеряны или украдены, то такие товары автоматически облагаются таможенными пошлинами.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В случае уничтожения, утери или кражи карнета АТА, владелец карнета АТА должен уведомить о случившемся местную полицию и/или таможенный орган и получить от него соответствующую справку.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3.5.После того, как карнет АТА выполнит свою функцию, или по истечению срока его действия,  карнет АТА необходимо вернуть выдавшей его Торгово-промышленной палате с целью обеспечения его проверки и аннуляции.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spacing w:before="160" w:after="0"/>
        <w:ind w:left="0" w:firstLine="540"/>
        <w:jc w:val="both"/>
        <w:rPr>
          <w:sz w:val="22"/>
          <w:szCs w:val="22"/>
          <w:highlight w:val="none"/>
          <w:shd w:fill="FFFFD7" w:val="clear"/>
        </w:rPr>
      </w:pPr>
      <w:r>
        <w:rPr>
          <w:sz w:val="22"/>
          <w:szCs w:val="22"/>
          <w:shd w:fill="FFFFD7" w:val="clear"/>
        </w:rPr>
      </w:r>
    </w:p>
    <w:p>
      <w:pPr>
        <w:pStyle w:val="ConsPlusNormal"/>
        <w:spacing w:before="160" w:after="0"/>
        <w:ind w:left="0" w:firstLine="540"/>
        <w:jc w:val="both"/>
        <w:rPr>
          <w:sz w:val="22"/>
          <w:szCs w:val="22"/>
          <w:highlight w:val="none"/>
          <w:shd w:fill="FFFFD7" w:val="clear"/>
        </w:rPr>
      </w:pPr>
      <w:r>
        <w:rPr/>
      </w:r>
    </w:p>
    <w:sectPr>
      <w:headerReference w:type="default" r:id="rId4"/>
      <w:type w:val="nextPage"/>
      <w:pgSz w:w="11906" w:h="16838"/>
      <w:pgMar w:left="1134" w:right="851" w:gutter="0" w:header="17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fficinaSansC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9892122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a6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8d0e63"/>
    <w:pPr>
      <w:widowControl w:val="false"/>
      <w:suppressAutoHyphens w:val="true"/>
      <w:overflowPunct w:val="true"/>
      <w:spacing w:lineRule="auto" w:line="360"/>
      <w:ind w:firstLine="709"/>
      <w:jc w:val="center"/>
      <w:textAlignment w:val="baseline"/>
      <w:outlineLvl w:val="0"/>
    </w:pPr>
    <w:rPr>
      <w:b/>
      <w:bCs/>
      <w:sz w:val="28"/>
      <w:szCs w:val="2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qFormat/>
    <w:rsid w:val="00915a68"/>
    <w:rPr>
      <w:rFonts w:ascii="Times New Roman" w:hAnsi="Times New Roman" w:eastAsia="MS Mincho" w:cs="Times New Roman"/>
      <w:b/>
      <w:sz w:val="26"/>
      <w:szCs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a04b1"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Hyperlink"/>
    <w:basedOn w:val="DefaultParagraphFont"/>
    <w:uiPriority w:val="99"/>
    <w:semiHidden/>
    <w:unhideWhenUsed/>
    <w:rsid w:val="005b631a"/>
    <w:rPr>
      <w:color w:val="0000FF"/>
      <w:u w:val="single"/>
    </w:rPr>
  </w:style>
  <w:style w:type="character" w:styleId="Style16">
    <w:name w:val="FollowedHyperlink"/>
    <w:basedOn w:val="DefaultParagraphFont"/>
    <w:uiPriority w:val="99"/>
    <w:semiHidden/>
    <w:unhideWhenUsed/>
    <w:rsid w:val="005b631a"/>
    <w:rPr>
      <w:color w:val="800080"/>
      <w:u w:val="single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df0a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df0a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qFormat/>
    <w:rsid w:val="008d0e63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Body Text Indent"/>
    <w:basedOn w:val="Normal"/>
    <w:link w:val="Style13"/>
    <w:unhideWhenUsed/>
    <w:rsid w:val="00915a68"/>
    <w:pPr>
      <w:snapToGrid w:val="false"/>
      <w:ind w:firstLine="540"/>
      <w:jc w:val="both"/>
    </w:pPr>
    <w:rPr>
      <w:rFonts w:eastAsia="MS Mincho"/>
      <w:b/>
      <w:sz w:val="26"/>
      <w:lang w:eastAsia="ja-JP"/>
    </w:rPr>
  </w:style>
  <w:style w:type="paragraph" w:styleId="FR1" w:customStyle="1">
    <w:name w:val="FR1"/>
    <w:qFormat/>
    <w:rsid w:val="00915a68"/>
    <w:pPr>
      <w:widowControl w:val="false"/>
      <w:suppressAutoHyphens w:val="true"/>
      <w:bidi w:val="0"/>
      <w:snapToGrid w:val="false"/>
      <w:spacing w:lineRule="auto" w:line="360" w:before="0" w:after="0"/>
      <w:ind w:left="880" w:right="1000" w:hanging="0"/>
      <w:jc w:val="center"/>
    </w:pPr>
    <w:rPr>
      <w:rFonts w:ascii="Arial" w:hAnsi="Arial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Text" w:customStyle="1">
    <w:name w:val="text"/>
    <w:basedOn w:val="Normal"/>
    <w:qFormat/>
    <w:rsid w:val="00915a68"/>
    <w:pPr>
      <w:ind w:firstLine="227"/>
      <w:jc w:val="both"/>
    </w:pPr>
    <w:rPr>
      <w:rFonts w:ascii="OfficinaSansC" w:hAnsi="OfficinaSansC" w:eastAsia="MS Mincho"/>
      <w:sz w:val="19"/>
    </w:rPr>
  </w:style>
  <w:style w:type="paragraph" w:styleId="12" w:customStyle="1">
    <w:name w:val="Обычный1"/>
    <w:qFormat/>
    <w:rsid w:val="00915a68"/>
    <w:pPr>
      <w:widowControl w:val="false"/>
      <w:suppressAutoHyphens w:val="true"/>
      <w:overflowPunct w:val="true"/>
      <w:bidi w:val="0"/>
      <w:spacing w:lineRule="auto" w:line="288" w:before="12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a04b1"/>
    <w:pPr/>
    <w:rPr>
      <w:rFonts w:ascii="Segoe UI" w:hAnsi="Segoe UI" w:cs="Segoe UI"/>
      <w:sz w:val="18"/>
      <w:szCs w:val="18"/>
    </w:rPr>
  </w:style>
  <w:style w:type="paragraph" w:styleId="Xl64" w:customStyle="1">
    <w:name w:val="xl64"/>
    <w:basedOn w:val="Normal"/>
    <w:qFormat/>
    <w:rsid w:val="005b631a"/>
    <w:pPr>
      <w:pBdr>
        <w:top w:val="single" w:sz="4" w:space="0" w:color="000000"/>
      </w:pBdr>
      <w:spacing w:beforeAutospacing="1" w:afterAutospacing="1"/>
      <w:textAlignment w:val="top"/>
    </w:pPr>
    <w:rPr>
      <w:b/>
      <w:bCs/>
      <w:color w:val="0000FF"/>
      <w:sz w:val="18"/>
      <w:szCs w:val="18"/>
      <w:u w:val="single"/>
    </w:rPr>
  </w:style>
  <w:style w:type="paragraph" w:styleId="Xl65" w:customStyle="1">
    <w:name w:val="xl65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66" w:customStyle="1">
    <w:name w:val="xl66"/>
    <w:basedOn w:val="Normal"/>
    <w:qFormat/>
    <w:rsid w:val="005b631a"/>
    <w:pPr>
      <w:spacing w:beforeAutospacing="1" w:afterAutospacing="1"/>
      <w:textAlignment w:val="top"/>
    </w:pPr>
    <w:rPr>
      <w:b/>
      <w:bCs/>
      <w:sz w:val="18"/>
      <w:szCs w:val="18"/>
    </w:rPr>
  </w:style>
  <w:style w:type="paragraph" w:styleId="Xl67" w:customStyle="1">
    <w:name w:val="xl67"/>
    <w:basedOn w:val="Normal"/>
    <w:qFormat/>
    <w:rsid w:val="005b6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68" w:customStyle="1">
    <w:name w:val="xl68"/>
    <w:basedOn w:val="Normal"/>
    <w:qFormat/>
    <w:rsid w:val="005b6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69" w:customStyle="1">
    <w:name w:val="xl69"/>
    <w:basedOn w:val="Normal"/>
    <w:qFormat/>
    <w:rsid w:val="005b631a"/>
    <w:pP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70" w:customStyle="1">
    <w:name w:val="xl70"/>
    <w:basedOn w:val="Normal"/>
    <w:qFormat/>
    <w:rsid w:val="005b631a"/>
    <w:pP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5b631a"/>
    <w:pP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72" w:customStyle="1">
    <w:name w:val="xl72"/>
    <w:basedOn w:val="Normal"/>
    <w:qFormat/>
    <w:rsid w:val="005b631a"/>
    <w:pPr>
      <w:pBdr>
        <w:top w:val="single" w:sz="4" w:space="0" w:color="000000"/>
        <w:lef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73" w:customStyle="1">
    <w:name w:val="xl73"/>
    <w:basedOn w:val="Normal"/>
    <w:qFormat/>
    <w:rsid w:val="005b631a"/>
    <w:pPr>
      <w:pBdr>
        <w:top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74" w:customStyle="1">
    <w:name w:val="xl74"/>
    <w:basedOn w:val="Normal"/>
    <w:qFormat/>
    <w:rsid w:val="005b631a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75" w:customStyle="1">
    <w:name w:val="xl75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76" w:customStyle="1">
    <w:name w:val="xl76"/>
    <w:basedOn w:val="Normal"/>
    <w:qFormat/>
    <w:rsid w:val="005b631a"/>
    <w:pPr>
      <w:pBdr>
        <w:top w:val="single" w:sz="4" w:space="0" w:color="000000"/>
        <w:lef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77" w:customStyle="1">
    <w:name w:val="xl77"/>
    <w:basedOn w:val="Normal"/>
    <w:qFormat/>
    <w:rsid w:val="005b631a"/>
    <w:pPr>
      <w:pBdr>
        <w:top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78" w:customStyle="1">
    <w:name w:val="xl78"/>
    <w:basedOn w:val="Normal"/>
    <w:qFormat/>
    <w:rsid w:val="005b631a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79" w:customStyle="1">
    <w:name w:val="xl79"/>
    <w:basedOn w:val="Normal"/>
    <w:qFormat/>
    <w:rsid w:val="005b631a"/>
    <w:pPr>
      <w:pBdr>
        <w:top w:val="single" w:sz="4" w:space="0" w:color="000000"/>
        <w:lef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80" w:customStyle="1">
    <w:name w:val="xl80"/>
    <w:basedOn w:val="Normal"/>
    <w:qFormat/>
    <w:rsid w:val="005b631a"/>
    <w:pPr>
      <w:pBdr>
        <w:top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81" w:customStyle="1">
    <w:name w:val="xl81"/>
    <w:basedOn w:val="Normal"/>
    <w:qFormat/>
    <w:rsid w:val="005b631a"/>
    <w:pPr>
      <w:pBdr>
        <w:top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82" w:customStyle="1">
    <w:name w:val="xl82"/>
    <w:basedOn w:val="Normal"/>
    <w:qFormat/>
    <w:rsid w:val="005b631a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83" w:customStyle="1">
    <w:name w:val="xl83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84" w:customStyle="1">
    <w:name w:val="xl84"/>
    <w:basedOn w:val="Normal"/>
    <w:qFormat/>
    <w:rsid w:val="005b631a"/>
    <w:pPr>
      <w:spacing w:beforeAutospacing="1" w:afterAutospacing="1"/>
      <w:textAlignment w:val="top"/>
    </w:pPr>
    <w:rPr>
      <w:b/>
      <w:bCs/>
      <w:sz w:val="18"/>
      <w:szCs w:val="18"/>
    </w:rPr>
  </w:style>
  <w:style w:type="paragraph" w:styleId="Xl85" w:customStyle="1">
    <w:name w:val="xl85"/>
    <w:basedOn w:val="Normal"/>
    <w:qFormat/>
    <w:rsid w:val="005b631a"/>
    <w:pPr>
      <w:spacing w:beforeAutospacing="1" w:afterAutospacing="1"/>
      <w:jc w:val="center"/>
      <w:textAlignment w:val="top"/>
    </w:pPr>
    <w:rPr>
      <w:sz w:val="18"/>
      <w:szCs w:val="18"/>
    </w:rPr>
  </w:style>
  <w:style w:type="paragraph" w:styleId="Xl86" w:customStyle="1">
    <w:name w:val="xl86"/>
    <w:basedOn w:val="Normal"/>
    <w:qFormat/>
    <w:rsid w:val="005b631a"/>
    <w:pPr>
      <w:pBdr>
        <w:left w:val="single" w:sz="4" w:space="0" w:color="000000"/>
      </w:pBdr>
      <w:spacing w:beforeAutospacing="1" w:afterAutospacing="1"/>
      <w:textAlignment w:val="top"/>
    </w:pPr>
    <w:rPr>
      <w:b/>
      <w:bCs/>
      <w:sz w:val="18"/>
      <w:szCs w:val="18"/>
    </w:rPr>
  </w:style>
  <w:style w:type="paragraph" w:styleId="Xl87" w:customStyle="1">
    <w:name w:val="xl87"/>
    <w:basedOn w:val="Normal"/>
    <w:qFormat/>
    <w:rsid w:val="005b631a"/>
    <w:pPr>
      <w:spacing w:beforeAutospacing="1" w:afterAutospacing="1"/>
      <w:textAlignment w:val="top"/>
    </w:pPr>
    <w:rPr>
      <w:b/>
      <w:bCs/>
      <w:sz w:val="18"/>
      <w:szCs w:val="18"/>
    </w:rPr>
  </w:style>
  <w:style w:type="paragraph" w:styleId="Xl88" w:customStyle="1">
    <w:name w:val="xl88"/>
    <w:basedOn w:val="Normal"/>
    <w:qFormat/>
    <w:rsid w:val="005b631a"/>
    <w:pPr>
      <w:spacing w:beforeAutospacing="1" w:afterAutospacing="1"/>
      <w:textAlignment w:val="top"/>
    </w:pPr>
    <w:rPr>
      <w:b/>
      <w:bCs/>
      <w:sz w:val="18"/>
      <w:szCs w:val="18"/>
    </w:rPr>
  </w:style>
  <w:style w:type="paragraph" w:styleId="Xl89" w:customStyle="1">
    <w:name w:val="xl89"/>
    <w:basedOn w:val="Normal"/>
    <w:qFormat/>
    <w:rsid w:val="005b631a"/>
    <w:pPr>
      <w:pBdr>
        <w:right w:val="single" w:sz="4" w:space="0" w:color="000000"/>
      </w:pBdr>
      <w:spacing w:beforeAutospacing="1" w:afterAutospacing="1"/>
      <w:textAlignment w:val="top"/>
    </w:pPr>
    <w:rPr>
      <w:b/>
      <w:bCs/>
      <w:sz w:val="18"/>
      <w:szCs w:val="18"/>
    </w:rPr>
  </w:style>
  <w:style w:type="paragraph" w:styleId="Xl90" w:customStyle="1">
    <w:name w:val="xl90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91" w:customStyle="1">
    <w:name w:val="xl91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92" w:customStyle="1">
    <w:name w:val="xl92"/>
    <w:basedOn w:val="Normal"/>
    <w:qFormat/>
    <w:rsid w:val="005b631a"/>
    <w:pPr>
      <w:pBdr>
        <w:lef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93" w:customStyle="1">
    <w:name w:val="xl93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94" w:customStyle="1">
    <w:name w:val="xl94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95" w:customStyle="1">
    <w:name w:val="xl95"/>
    <w:basedOn w:val="Normal"/>
    <w:qFormat/>
    <w:rsid w:val="005b631a"/>
    <w:pPr>
      <w:pBdr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styleId="Xl96" w:customStyle="1">
    <w:name w:val="xl96"/>
    <w:basedOn w:val="Normal"/>
    <w:qFormat/>
    <w:rsid w:val="005b631a"/>
    <w:pPr>
      <w:spacing w:beforeAutospacing="1" w:afterAutospacing="1"/>
      <w:textAlignment w:val="top"/>
    </w:pPr>
    <w:rPr>
      <w:sz w:val="18"/>
      <w:szCs w:val="18"/>
    </w:rPr>
  </w:style>
  <w:style w:type="paragraph" w:styleId="Xl97" w:customStyle="1">
    <w:name w:val="xl97"/>
    <w:basedOn w:val="Normal"/>
    <w:qFormat/>
    <w:rsid w:val="005b63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98" w:customStyle="1">
    <w:name w:val="xl98"/>
    <w:basedOn w:val="Normal"/>
    <w:qFormat/>
    <w:rsid w:val="005b631a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99" w:customStyle="1">
    <w:name w:val="xl99"/>
    <w:basedOn w:val="Normal"/>
    <w:qFormat/>
    <w:rsid w:val="005b63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0" w:customStyle="1">
    <w:name w:val="xl100"/>
    <w:basedOn w:val="Normal"/>
    <w:qFormat/>
    <w:rsid w:val="005b6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1" w:customStyle="1">
    <w:name w:val="xl101"/>
    <w:basedOn w:val="Normal"/>
    <w:qFormat/>
    <w:rsid w:val="005b63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2" w:customStyle="1">
    <w:name w:val="xl102"/>
    <w:basedOn w:val="Normal"/>
    <w:qFormat/>
    <w:rsid w:val="005b631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3" w:customStyle="1">
    <w:name w:val="xl103"/>
    <w:basedOn w:val="Normal"/>
    <w:qFormat/>
    <w:rsid w:val="005b63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4" w:customStyle="1">
    <w:name w:val="xl104"/>
    <w:basedOn w:val="Normal"/>
    <w:qFormat/>
    <w:rsid w:val="005b63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5" w:customStyle="1">
    <w:name w:val="xl105"/>
    <w:basedOn w:val="Normal"/>
    <w:qFormat/>
    <w:rsid w:val="005b631a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6" w:customStyle="1">
    <w:name w:val="xl106"/>
    <w:basedOn w:val="Normal"/>
    <w:qFormat/>
    <w:rsid w:val="005b63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7" w:customStyle="1">
    <w:name w:val="xl107"/>
    <w:basedOn w:val="Normal"/>
    <w:qFormat/>
    <w:rsid w:val="005b6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8" w:customStyle="1">
    <w:name w:val="xl108"/>
    <w:basedOn w:val="Normal"/>
    <w:qFormat/>
    <w:rsid w:val="005b63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09" w:customStyle="1">
    <w:name w:val="xl109"/>
    <w:basedOn w:val="Normal"/>
    <w:qFormat/>
    <w:rsid w:val="005b631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10" w:customStyle="1">
    <w:name w:val="xl110"/>
    <w:basedOn w:val="Normal"/>
    <w:qFormat/>
    <w:rsid w:val="005b63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ba6295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7"/>
    <w:uiPriority w:val="99"/>
    <w:unhideWhenUsed/>
    <w:rsid w:val="00df0aa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8"/>
    <w:uiPriority w:val="99"/>
    <w:unhideWhenUsed/>
    <w:rsid w:val="00df0aa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justify" w:customStyle="1">
    <w:name w:val="t-justify"/>
    <w:basedOn w:val="Normal"/>
    <w:qFormat/>
    <w:rsid w:val="00cc793d"/>
    <w:pPr>
      <w:spacing w:beforeAutospacing="1" w:afterAutospacing="1"/>
    </w:pPr>
    <w:rPr>
      <w:sz w:val="24"/>
      <w:szCs w:val="24"/>
      <w:lang w:eastAsia="ja-JP"/>
    </w:rPr>
  </w:style>
  <w:style w:type="paragraph" w:styleId="Style29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16"/>
      <w:szCs w:val="24"/>
      <w:u w:val="none"/>
      <w:lang w:val="ru-RU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c3a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FF3DCED8505DFC1F44DA4ADF1BF9F260A756B63B9A3689CA32BE390617D13E2A479E381B3C05EB1DCC76B1A8AFA487C160D9C8C5A51b9G2X" TargetMode="External"/><Relationship Id="rId3" Type="http://schemas.openxmlformats.org/officeDocument/2006/relationships/hyperlink" Target="mailto:palata@ptpp.ru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0052-0E0E-45A8-8A6D-3BD5F8AC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Application>LibreOffice/7.4.3.2$Linux_X86_64 LibreOffice_project/40$Build-2</Application>
  <AppVersion>15.0000</AppVersion>
  <Pages>4</Pages>
  <Words>1118</Words>
  <Characters>7290</Characters>
  <CharactersWithSpaces>8366</CharactersWithSpaces>
  <Paragraphs>59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2023-08-29T08:52:00Z</dcterms:created>
  <dc:creator>Пользователь</dc:creator>
  <dc:description/>
  <dc:language>ru-RU</dc:language>
  <cp:lastModifiedBy/>
  <cp:lastPrinted>2023-08-28T14:33:17Z</cp:lastPrinted>
  <dcterms:modified xsi:type="dcterms:W3CDTF">2023-09-05T09:26:01Z</dcterms:modified>
  <cp:revision>104</cp:revision>
  <dc:subject/>
  <dc:title>"Конвенция о временном ввозе"(заключена в Стамбуле 26.06.1990)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